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eastAsia="仿宋_GB2312"/>
          <w:sz w:val="32"/>
          <w:szCs w:val="32"/>
        </w:rPr>
      </w:pPr>
      <w:r>
        <w:rPr>
          <w:rFonts w:hint="eastAsia" w:ascii="仿宋_GB2312" w:eastAsia="仿宋_GB2312"/>
          <w:sz w:val="32"/>
          <w:szCs w:val="32"/>
        </w:rPr>
        <w:t xml:space="preserve">附件2       </w:t>
      </w:r>
    </w:p>
    <w:p>
      <w:pPr>
        <w:spacing w:line="520" w:lineRule="exact"/>
        <w:jc w:val="center"/>
        <w:rPr>
          <w:rFonts w:hint="eastAsia" w:ascii="仿宋_GB2312" w:eastAsia="仿宋_GB2312"/>
          <w:sz w:val="32"/>
          <w:szCs w:val="32"/>
        </w:rPr>
      </w:pPr>
      <w:bookmarkStart w:id="0" w:name="_GoBack"/>
      <w:r>
        <w:rPr>
          <w:rFonts w:hint="eastAsia" w:ascii="仿宋" w:hAnsi="仿宋" w:eastAsia="仿宋"/>
          <w:sz w:val="32"/>
          <w:szCs w:val="32"/>
        </w:rPr>
        <w:t>201</w:t>
      </w:r>
      <w:r>
        <w:rPr>
          <w:rFonts w:hint="eastAsia" w:ascii="仿宋" w:hAnsi="仿宋" w:eastAsia="仿宋"/>
          <w:sz w:val="32"/>
          <w:szCs w:val="32"/>
          <w:lang w:val="en-US" w:eastAsia="zh-CN"/>
        </w:rPr>
        <w:t>6</w:t>
      </w:r>
      <w:r>
        <w:rPr>
          <w:rFonts w:hint="eastAsia" w:ascii="仿宋" w:hAnsi="仿宋" w:eastAsia="仿宋"/>
          <w:sz w:val="32"/>
          <w:szCs w:val="32"/>
        </w:rPr>
        <w:t>年教改研究课题立项名单</w:t>
      </w:r>
      <w:bookmarkEnd w:id="0"/>
    </w:p>
    <w:tbl>
      <w:tblPr>
        <w:tblStyle w:val="3"/>
        <w:tblW w:w="9033" w:type="dxa"/>
        <w:tblInd w:w="-269" w:type="dxa"/>
        <w:tblLayout w:type="fixed"/>
        <w:tblCellMar>
          <w:top w:w="0" w:type="dxa"/>
          <w:left w:w="108" w:type="dxa"/>
          <w:bottom w:w="0" w:type="dxa"/>
          <w:right w:w="108" w:type="dxa"/>
        </w:tblCellMar>
      </w:tblPr>
      <w:tblGrid>
        <w:gridCol w:w="568"/>
        <w:gridCol w:w="1131"/>
        <w:gridCol w:w="1425"/>
        <w:gridCol w:w="5129"/>
        <w:gridCol w:w="780"/>
      </w:tblGrid>
      <w:tr>
        <w:tblPrEx>
          <w:tblLayout w:type="fixed"/>
          <w:tblCellMar>
            <w:top w:w="0" w:type="dxa"/>
            <w:left w:w="108" w:type="dxa"/>
            <w:bottom w:w="0" w:type="dxa"/>
            <w:right w:w="108" w:type="dxa"/>
          </w:tblCellMar>
        </w:tblPrEx>
        <w:trPr>
          <w:trHeight w:val="355"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_GB2312" w:hAnsi="宋体" w:eastAsia="仿宋_GB2312" w:cs="仿宋_GB2312"/>
                <w:b/>
                <w:bCs/>
                <w:color w:val="000000"/>
                <w:kern w:val="0"/>
                <w:sz w:val="28"/>
                <w:szCs w:val="28"/>
                <w:lang w:bidi="ar"/>
              </w:rPr>
            </w:pPr>
            <w:r>
              <w:rPr>
                <w:rFonts w:hint="eastAsia" w:ascii="仿宋_GB2312" w:hAnsi="宋体" w:eastAsia="仿宋_GB2312" w:cs="仿宋_GB2312"/>
                <w:b/>
                <w:bCs/>
                <w:color w:val="000000"/>
                <w:kern w:val="0"/>
                <w:sz w:val="28"/>
                <w:szCs w:val="28"/>
                <w:lang w:bidi="ar"/>
              </w:rPr>
              <w:t>序号</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b/>
                <w:bCs/>
              </w:rPr>
            </w:pPr>
            <w:r>
              <w:rPr>
                <w:rFonts w:hint="eastAsia" w:ascii="仿宋_GB2312" w:hAnsi="宋体" w:eastAsia="仿宋_GB2312" w:cs="仿宋_GB2312"/>
                <w:b/>
                <w:bCs/>
                <w:color w:val="000000"/>
                <w:kern w:val="0"/>
                <w:sz w:val="28"/>
                <w:szCs w:val="28"/>
                <w:lang w:bidi="ar"/>
              </w:rPr>
              <w:t>课题</w:t>
            </w:r>
            <w:r>
              <w:rPr>
                <w:rFonts w:hint="eastAsia" w:ascii="仿宋_GB2312" w:hAnsi="宋体" w:eastAsia="仿宋_GB2312" w:cs="仿宋_GB2312"/>
                <w:b/>
                <w:bCs/>
                <w:color w:val="000000"/>
                <w:kern w:val="0"/>
                <w:sz w:val="28"/>
                <w:szCs w:val="28"/>
                <w:lang w:val="en-US" w:eastAsia="zh-CN" w:bidi="ar"/>
              </w:rPr>
              <w:t xml:space="preserve">  </w:t>
            </w:r>
            <w:r>
              <w:rPr>
                <w:rFonts w:hint="eastAsia" w:ascii="仿宋_GB2312" w:hAnsi="宋体" w:eastAsia="仿宋_GB2312" w:cs="仿宋_GB2312"/>
                <w:b/>
                <w:bCs/>
                <w:color w:val="000000"/>
                <w:kern w:val="0"/>
                <w:sz w:val="28"/>
                <w:szCs w:val="28"/>
                <w:lang w:bidi="ar"/>
              </w:rPr>
              <w:t>主持人</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b/>
                <w:bCs/>
              </w:rPr>
            </w:pPr>
            <w:r>
              <w:rPr>
                <w:rFonts w:hint="eastAsia" w:ascii="仿宋_GB2312" w:hAnsi="宋体" w:eastAsia="仿宋_GB2312" w:cs="仿宋_GB2312"/>
                <w:b/>
                <w:bCs/>
                <w:color w:val="000000"/>
                <w:kern w:val="0"/>
                <w:sz w:val="28"/>
                <w:szCs w:val="28"/>
                <w:lang w:bidi="ar"/>
              </w:rPr>
              <w:t>所在部门</w:t>
            </w:r>
          </w:p>
        </w:tc>
        <w:tc>
          <w:tcPr>
            <w:tcW w:w="512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宋体" w:eastAsia="仿宋_GB2312" w:cs="仿宋_GB2312"/>
                <w:b/>
                <w:bCs/>
                <w:color w:val="000000"/>
                <w:kern w:val="0"/>
                <w:sz w:val="28"/>
                <w:szCs w:val="28"/>
                <w:lang w:bidi="ar"/>
              </w:rPr>
            </w:pPr>
            <w:r>
              <w:rPr>
                <w:rFonts w:hint="eastAsia" w:ascii="仿宋_GB2312" w:hAnsi="宋体" w:eastAsia="仿宋_GB2312" w:cs="仿宋_GB2312"/>
                <w:b/>
                <w:bCs/>
                <w:color w:val="000000"/>
                <w:kern w:val="0"/>
                <w:sz w:val="28"/>
                <w:szCs w:val="28"/>
                <w:lang w:bidi="ar"/>
              </w:rPr>
              <w:t>课题名称</w:t>
            </w:r>
          </w:p>
        </w:tc>
        <w:tc>
          <w:tcPr>
            <w:tcW w:w="780" w:type="dxa"/>
            <w:tcBorders>
              <w:top w:val="single" w:color="000000" w:sz="4" w:space="0"/>
              <w:left w:val="single" w:color="000000" w:sz="4" w:space="0"/>
              <w:bottom w:val="single" w:color="000000" w:sz="4" w:space="0"/>
              <w:right w:val="single" w:color="000000" w:sz="4" w:space="0"/>
            </w:tcBorders>
            <w:vAlign w:val="top"/>
          </w:tcPr>
          <w:p>
            <w:pPr>
              <w:widowControl/>
              <w:spacing w:line="440" w:lineRule="exact"/>
              <w:jc w:val="center"/>
              <w:textAlignment w:val="center"/>
              <w:rPr>
                <w:rFonts w:hint="eastAsia" w:ascii="仿宋_GB2312" w:hAnsi="宋体" w:eastAsia="仿宋_GB2312" w:cs="仿宋_GB2312"/>
                <w:b/>
                <w:bCs/>
                <w:color w:val="000000"/>
                <w:kern w:val="0"/>
                <w:sz w:val="28"/>
                <w:szCs w:val="28"/>
                <w:lang w:bidi="ar"/>
              </w:rPr>
            </w:pPr>
            <w:r>
              <w:rPr>
                <w:rFonts w:hint="eastAsia" w:ascii="仿宋_GB2312" w:hAnsi="宋体" w:eastAsia="仿宋_GB2312" w:cs="仿宋_GB2312"/>
                <w:b/>
                <w:bCs/>
                <w:color w:val="000000"/>
                <w:kern w:val="0"/>
                <w:sz w:val="28"/>
                <w:szCs w:val="28"/>
                <w:lang w:bidi="ar"/>
              </w:rPr>
              <w:t>课题级别</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1</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章文浩</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美术学院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新媒体时代绘画专业类创新型人才培养模式研究与实践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2</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郏而慷</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基于音乐学科复合型人才培养的网络课程探究——以音乐表演专业为例</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3</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孙晶</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设计学类创新型本科人才培养模式研究与实践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4</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default" w:ascii="仿宋" w:hAnsi="仿宋" w:eastAsia="仿宋" w:cs="仿宋_GB2312"/>
                <w:color w:val="000000"/>
                <w:kern w:val="0"/>
                <w:sz w:val="28"/>
                <w:szCs w:val="28"/>
                <w:lang w:val="en-US" w:eastAsia="zh-CN" w:bidi="ar"/>
              </w:rPr>
              <w:t>王方、</w:t>
            </w:r>
          </w:p>
          <w:p>
            <w:pPr>
              <w:spacing w:line="440" w:lineRule="exact"/>
              <w:jc w:val="left"/>
            </w:pPr>
            <w:r>
              <w:rPr>
                <w:rFonts w:hint="default" w:ascii="仿宋" w:hAnsi="仿宋" w:eastAsia="仿宋" w:cs="仿宋_GB2312"/>
                <w:color w:val="000000"/>
                <w:kern w:val="0"/>
                <w:sz w:val="28"/>
                <w:szCs w:val="28"/>
                <w:lang w:val="en-US" w:eastAsia="zh-CN" w:bidi="ar"/>
              </w:rPr>
              <w:t>孙为</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传媒学院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跨学科视阈下传媒艺术复合型人才培养模式研究与实践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1278"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5</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董蓓</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影视学院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播音与主持专业复合型人才培养模式研究与实践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6</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韩淑英</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舞蹈学院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综合性高等艺术院校舞蹈专业复合型人才培养模式研究</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7</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刘晔</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人文学院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美术学（文物鉴赏与修复、文化遗产研究） 专业复合型人才培养模式研究与实践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8</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张明</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工业设计学院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非遗传承创新语境下的文创设计人才培养新模式</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5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9</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奚协</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国际教育学院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艺术类留学生1+3培养模式探索与实践研究</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6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10</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蒋杰</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艺术设计学科应用型人才培养模式研究与实践</w:t>
            </w:r>
          </w:p>
        </w:tc>
        <w:tc>
          <w:tcPr>
            <w:tcW w:w="78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both"/>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285"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ascii="仿宋" w:hAnsi="仿宋" w:eastAsia="仿宋" w:cs="仿宋_GB2312"/>
                <w:color w:val="000000"/>
                <w:kern w:val="0"/>
                <w:sz w:val="28"/>
                <w:szCs w:val="28"/>
                <w:lang w:bidi="ar"/>
              </w:rPr>
            </w:pPr>
            <w:r>
              <w:rPr>
                <w:rFonts w:hint="eastAsia" w:ascii="仿宋" w:hAnsi="仿宋" w:eastAsia="仿宋" w:cs="仿宋_GB2312"/>
                <w:color w:val="000000"/>
                <w:kern w:val="0"/>
                <w:sz w:val="28"/>
                <w:szCs w:val="28"/>
                <w:lang w:bidi="ar"/>
              </w:rPr>
              <w:t>11</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李亦文</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default" w:ascii="仿宋" w:hAnsi="仿宋" w:eastAsia="仿宋" w:cs="仿宋_GB2312"/>
                <w:color w:val="000000"/>
                <w:kern w:val="0"/>
                <w:sz w:val="28"/>
                <w:szCs w:val="28"/>
                <w:lang w:val="en-US" w:eastAsia="zh-CN" w:bidi="ar"/>
              </w:rPr>
              <w:t>工业设计学院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bidi="ar"/>
              </w:rPr>
            </w:pPr>
            <w:r>
              <w:rPr>
                <w:rFonts w:hint="default" w:ascii="仿宋" w:hAnsi="仿宋" w:eastAsia="仿宋" w:cs="仿宋_GB2312"/>
                <w:color w:val="000000"/>
                <w:kern w:val="0"/>
                <w:sz w:val="28"/>
                <w:szCs w:val="28"/>
                <w:lang w:val="en-US" w:eastAsia="zh-CN" w:bidi="ar"/>
              </w:rPr>
              <w:t>《产品开发设计》课程质量评价机制与标准研究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center"/>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2</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施煜庭</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“建构”理论指导下的创新教学方法与实践—以环艺专业系列毕业设计作品为例</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3</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尚书</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人文学院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对南京艺术学院学生体质健康测试——数据管理系统的开发与应用研究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4</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陆霄虹</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人文学院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艺术管理专业实践化教学模式创新</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重点</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5</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周洁</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国际音标在声乐教学过程中的运用及训练方法</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6</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程璐璐</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民族化音乐元素在高校视唱练耳教学中的实践研究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78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7</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童莹</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琵琶重奏教学的应用研究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1</w:t>
            </w:r>
            <w:r>
              <w:rPr>
                <w:rFonts w:hint="eastAsia" w:ascii="仿宋" w:hAnsi="仿宋" w:eastAsia="仿宋" w:cs="仿宋_GB2312"/>
                <w:color w:val="000000"/>
                <w:kern w:val="0"/>
                <w:sz w:val="28"/>
                <w:szCs w:val="28"/>
                <w:lang w:val="en-US" w:eastAsia="zh-CN" w:bidi="ar"/>
              </w:rPr>
              <w:t>8</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吴跃赛</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设计学院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“团体动力学”视域下艺术院校工作坊教学实践研究—以南京艺术学院设计学院工作坊教学为例</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19</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汪黎黎</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传媒学院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理论类课程“翻转课堂”的研究与应用</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2</w:t>
            </w:r>
            <w:r>
              <w:rPr>
                <w:rFonts w:hint="eastAsia" w:ascii="仿宋" w:hAnsi="仿宋" w:eastAsia="仿宋" w:cs="仿宋_GB2312"/>
                <w:color w:val="000000"/>
                <w:kern w:val="0"/>
                <w:sz w:val="28"/>
                <w:szCs w:val="28"/>
                <w:lang w:val="en-US" w:eastAsia="zh-CN" w:bidi="ar"/>
              </w:rPr>
              <w:t>0</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王佳维</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舞蹈学院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与公共艺术相融合的环境编舞教学实践研究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69"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2</w:t>
            </w:r>
            <w:r>
              <w:rPr>
                <w:rFonts w:hint="eastAsia" w:ascii="仿宋" w:hAnsi="仿宋" w:eastAsia="仿宋" w:cs="仿宋_GB2312"/>
                <w:color w:val="000000"/>
                <w:kern w:val="0"/>
                <w:sz w:val="28"/>
                <w:szCs w:val="28"/>
                <w:lang w:val="en-US" w:eastAsia="zh-CN" w:bidi="ar"/>
              </w:rPr>
              <w:t>1</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郝巍</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流行音乐学院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爵士乐的“听觉化”教育理念研究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171"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2</w:t>
            </w:r>
            <w:r>
              <w:rPr>
                <w:rFonts w:hint="eastAsia" w:ascii="仿宋" w:hAnsi="仿宋" w:eastAsia="仿宋" w:cs="仿宋_GB2312"/>
                <w:color w:val="000000"/>
                <w:kern w:val="0"/>
                <w:sz w:val="28"/>
                <w:szCs w:val="28"/>
                <w:lang w:val="en-US" w:eastAsia="zh-CN" w:bidi="ar"/>
              </w:rPr>
              <w:t>2</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王媛</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文化产业学院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基于案例库建设的文化资源学课程教学模式创新研究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85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eastAsia="zh-CN" w:bidi="ar"/>
              </w:rPr>
            </w:pPr>
            <w:r>
              <w:rPr>
                <w:rFonts w:hint="eastAsia" w:ascii="仿宋" w:hAnsi="仿宋" w:eastAsia="仿宋" w:cs="仿宋_GB2312"/>
                <w:color w:val="000000"/>
                <w:kern w:val="0"/>
                <w:sz w:val="28"/>
                <w:szCs w:val="28"/>
                <w:lang w:bidi="ar"/>
              </w:rPr>
              <w:t>2</w:t>
            </w:r>
            <w:r>
              <w:rPr>
                <w:rFonts w:hint="eastAsia" w:ascii="仿宋" w:hAnsi="仿宋" w:eastAsia="仿宋" w:cs="仿宋_GB2312"/>
                <w:color w:val="000000"/>
                <w:kern w:val="0"/>
                <w:sz w:val="28"/>
                <w:szCs w:val="28"/>
                <w:lang w:val="en-US" w:eastAsia="zh-CN" w:bidi="ar"/>
              </w:rPr>
              <w:t>3</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吴同</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文化产业学院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艺术院校德育隐形课程显性化研究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default"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12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24</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曹步峰</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国际教育学院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艺术类留学高效率核心课程建设研究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12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25</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徐敏洁</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高等职业教育（本科段）实践教学的内涵认知与特色研究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00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26</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吴凡</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环境艺术设计专业空间构成基础教学改革探索</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05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27</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汪莉</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家居产品设计专业应用型人才培养的开放式教学形态研究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7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28</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李大伟</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高职院</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行业标准和职岗需求下的导视系统设计课程改革与实践</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977"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29</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洪静</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党院办</w:t>
            </w:r>
          </w:p>
        </w:tc>
        <w:tc>
          <w:tcPr>
            <w:tcW w:w="512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仿宋_GB2312" w:hAnsi="宋体" w:eastAsia="仿宋_GB2312" w:cs="仿宋_GB2312"/>
                <w:i w:val="0"/>
                <w:color w:val="000000"/>
                <w:kern w:val="0"/>
                <w:sz w:val="28"/>
                <w:szCs w:val="28"/>
                <w:u w:val="none"/>
                <w:lang w:val="en-US" w:eastAsia="zh-CN" w:bidi="ar"/>
              </w:rPr>
            </w:pPr>
            <w:r>
              <w:rPr>
                <w:rFonts w:hint="eastAsia" w:ascii="仿宋_GB2312" w:hAnsi="宋体" w:eastAsia="仿宋_GB2312" w:cs="仿宋_GB2312"/>
                <w:i w:val="0"/>
                <w:color w:val="000000"/>
                <w:kern w:val="0"/>
                <w:sz w:val="28"/>
                <w:szCs w:val="28"/>
                <w:u w:val="none"/>
                <w:lang w:val="en-US" w:eastAsia="zh-CN" w:bidi="ar"/>
              </w:rPr>
              <w:t>区域文化产业视域下高等艺术院校社会服务反哺人才培养的路径研究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r>
        <w:tblPrEx>
          <w:tblLayout w:type="fixed"/>
          <w:tblCellMar>
            <w:top w:w="0" w:type="dxa"/>
            <w:left w:w="108" w:type="dxa"/>
            <w:bottom w:w="0" w:type="dxa"/>
            <w:right w:w="108" w:type="dxa"/>
          </w:tblCellMar>
        </w:tblPrEx>
        <w:trPr>
          <w:trHeight w:val="1012" w:hRule="atLeast"/>
        </w:trPr>
        <w:tc>
          <w:tcPr>
            <w:tcW w:w="56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440" w:lineRule="exact"/>
              <w:jc w:val="center"/>
              <w:textAlignment w:val="center"/>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30</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徐丽媛</w:t>
            </w:r>
          </w:p>
        </w:tc>
        <w:tc>
          <w:tcPr>
            <w:tcW w:w="1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pPr>
            <w:r>
              <w:rPr>
                <w:rFonts w:hint="eastAsia" w:ascii="仿宋" w:hAnsi="仿宋" w:eastAsia="仿宋" w:cs="仿宋_GB2312"/>
                <w:color w:val="000000"/>
                <w:kern w:val="0"/>
                <w:sz w:val="28"/>
                <w:szCs w:val="28"/>
                <w:lang w:val="en-US" w:eastAsia="zh-CN" w:bidi="ar"/>
              </w:rPr>
              <w:t>招生就业处</w:t>
            </w:r>
          </w:p>
        </w:tc>
        <w:tc>
          <w:tcPr>
            <w:tcW w:w="512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“互联网+”视域下艺术院校大学生就业指导课程教学改革研究</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spacing w:line="440" w:lineRule="exact"/>
              <w:jc w:val="left"/>
              <w:rPr>
                <w:rFonts w:hint="eastAsia" w:ascii="仿宋" w:hAnsi="仿宋" w:eastAsia="仿宋" w:cs="仿宋_GB2312"/>
                <w:color w:val="000000"/>
                <w:kern w:val="0"/>
                <w:sz w:val="28"/>
                <w:szCs w:val="28"/>
                <w:lang w:val="en-US" w:eastAsia="zh-CN" w:bidi="ar"/>
              </w:rPr>
            </w:pPr>
            <w:r>
              <w:rPr>
                <w:rFonts w:hint="eastAsia" w:ascii="仿宋" w:hAnsi="仿宋" w:eastAsia="仿宋" w:cs="仿宋_GB2312"/>
                <w:color w:val="000000"/>
                <w:kern w:val="0"/>
                <w:sz w:val="28"/>
                <w:szCs w:val="28"/>
                <w:lang w:val="en-US" w:eastAsia="zh-CN" w:bidi="ar"/>
              </w:rPr>
              <w:t>一般</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A6568"/>
    <w:rsid w:val="6D535020"/>
    <w:rsid w:val="70DA6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2018-06-07T09:02:00Z</dcterms:created>
  <dc:creator>章小鱼</dc:creator>
  <cp:lastModifiedBy>章小鱼</cp:lastModifiedBy>
  <dcterms:modified xsi:type="dcterms:W3CDTF">2018-06-07T09:02:25Z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