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64E367">
      <w:pPr>
        <w:jc w:val="left"/>
        <w:rPr>
          <w:rFonts w:hint="default" w:ascii="宋体" w:hAnsi="宋体" w:eastAsia="宋体" w:cs="宋体"/>
          <w:b w:val="0"/>
          <w:bCs w:val="0"/>
          <w:kern w:val="2"/>
          <w:sz w:val="22"/>
          <w:szCs w:val="22"/>
          <w:lang w:val="en-US" w:eastAsia="zh-CN" w:bidi="ar-SA"/>
        </w:rPr>
      </w:pPr>
      <w:r>
        <w:rPr>
          <w:rFonts w:hint="eastAsia" w:ascii="宋体" w:hAnsi="宋体" w:cs="宋体"/>
          <w:b w:val="0"/>
          <w:bCs w:val="0"/>
          <w:kern w:val="2"/>
          <w:sz w:val="22"/>
          <w:szCs w:val="22"/>
          <w:lang w:val="en-US" w:eastAsia="zh-CN" w:bidi="ar-SA"/>
        </w:rPr>
        <w:t>附件1</w:t>
      </w:r>
    </w:p>
    <w:p w14:paraId="73733D92">
      <w:pPr>
        <w:jc w:val="center"/>
        <w:rPr>
          <w:rFonts w:hint="default"/>
          <w:b/>
          <w:bCs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  <w:t>新教务系统登录及选课操作</w:t>
      </w:r>
      <w:r>
        <w:rPr>
          <w:rFonts w:hint="eastAsia" w:ascii="宋体" w:hAnsi="宋体" w:cs="宋体"/>
          <w:b/>
          <w:bCs/>
          <w:kern w:val="2"/>
          <w:sz w:val="28"/>
          <w:szCs w:val="28"/>
          <w:lang w:val="en-US" w:eastAsia="zh-CN" w:bidi="ar-SA"/>
        </w:rPr>
        <w:t>手册</w:t>
      </w:r>
    </w:p>
    <w:p w14:paraId="4923D07B">
      <w:pPr>
        <w:jc w:val="left"/>
        <w:rPr>
          <w:rFonts w:hint="eastAsia"/>
          <w:b/>
          <w:bCs/>
          <w:lang w:val="en-US" w:eastAsia="zh-CN"/>
        </w:rPr>
      </w:pPr>
    </w:p>
    <w:p w14:paraId="5BEB1290">
      <w:pPr>
        <w:jc w:val="left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一、登录方式：</w:t>
      </w:r>
    </w:p>
    <w:p w14:paraId="53C2C2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通过</w:t>
      </w:r>
      <w:r>
        <w:rPr>
          <w:rFonts w:hint="eastAsia" w:ascii="宋体" w:hAnsi="宋体" w:cs="宋体"/>
          <w:sz w:val="28"/>
          <w:szCs w:val="28"/>
          <w:lang w:val="en-US" w:eastAsia="zh-CN"/>
        </w:rPr>
        <w:t>“我的门户”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登录进入，具体操作步骤如下：</w:t>
      </w:r>
    </w:p>
    <w:p w14:paraId="52303825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1、</w:t>
      </w:r>
      <w:r>
        <w:rPr>
          <w:rFonts w:hint="eastAsia" w:ascii="宋体" w:hAnsi="宋体" w:eastAsia="宋体" w:cs="宋体"/>
          <w:sz w:val="28"/>
          <w:szCs w:val="28"/>
        </w:rPr>
        <w:t>访问</w:t>
      </w:r>
      <w:r>
        <w:rPr>
          <w:rFonts w:hint="eastAsia" w:ascii="宋体" w:hAnsi="宋体" w:eastAsia="宋体" w:cs="宋体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sz w:val="28"/>
          <w:szCs w:val="28"/>
        </w:rPr>
        <w:instrText xml:space="preserve"> HYPERLINK "https://i.nua.edu.cn/" </w:instrText>
      </w:r>
      <w:r>
        <w:rPr>
          <w:rFonts w:hint="eastAsia" w:ascii="宋体" w:hAnsi="宋体" w:eastAsia="宋体" w:cs="宋体"/>
          <w:sz w:val="28"/>
          <w:szCs w:val="28"/>
        </w:rPr>
        <w:fldChar w:fldCharType="separate"/>
      </w:r>
      <w:r>
        <w:rPr>
          <w:rStyle w:val="4"/>
          <w:rFonts w:hint="eastAsia" w:ascii="宋体" w:hAnsi="宋体" w:eastAsia="宋体" w:cs="宋体"/>
          <w:sz w:val="28"/>
          <w:szCs w:val="28"/>
        </w:rPr>
        <w:t>https://i.nua.edu.cn</w:t>
      </w:r>
      <w:r>
        <w:rPr>
          <w:rStyle w:val="4"/>
          <w:rFonts w:hint="eastAsia" w:ascii="宋体" w:hAnsi="宋体" w:eastAsia="宋体" w:cs="宋体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sz w:val="28"/>
          <w:szCs w:val="28"/>
        </w:rPr>
        <w:t xml:space="preserve">    出现登录页面</w:t>
      </w:r>
    </w:p>
    <w:p w14:paraId="2A8DED39">
      <w:pPr>
        <w:pStyle w:val="5"/>
        <w:ind w:left="360" w:firstLine="0" w:firstLineChars="0"/>
        <w:jc w:val="both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drawing>
          <wp:inline distT="0" distB="0" distL="114300" distR="114300">
            <wp:extent cx="4895850" cy="2162175"/>
            <wp:effectExtent l="0" t="0" r="0" b="9525"/>
            <wp:docPr id="3" name="图片 3" descr="17254220188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72542201884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95850" cy="2162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123AE0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宋体" w:hAnsi="宋体" w:eastAsia="宋体" w:cs="宋体"/>
          <w:b/>
          <w:bCs/>
          <w:color w:val="FF0000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FF0000"/>
          <w:kern w:val="2"/>
          <w:sz w:val="28"/>
          <w:szCs w:val="28"/>
          <w:lang w:val="en-US" w:eastAsia="zh-CN" w:bidi="ar-SA"/>
        </w:rPr>
        <w:t>特别提醒：</w:t>
      </w:r>
    </w:p>
    <w:p w14:paraId="0E1218C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宋体" w:hAnsi="宋体" w:eastAsia="宋体" w:cs="宋体"/>
          <w:color w:val="FF0000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color w:val="FF0000"/>
          <w:kern w:val="2"/>
          <w:sz w:val="28"/>
          <w:szCs w:val="28"/>
          <w:lang w:val="en-US" w:eastAsia="zh-CN" w:bidi="ar-SA"/>
        </w:rPr>
        <w:t>◼ 首次登录必须进行账号激活；</w:t>
      </w:r>
    </w:p>
    <w:p w14:paraId="563E6AE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宋体" w:hAnsi="宋体" w:eastAsia="宋体" w:cs="宋体"/>
          <w:color w:val="FF0000"/>
          <w:kern w:val="2"/>
          <w:sz w:val="28"/>
          <w:szCs w:val="28"/>
          <w:lang w:val="en-US" w:eastAsia="zh-CN" w:bidi="ar-SA"/>
        </w:rPr>
      </w:pPr>
      <w:r>
        <w:rPr>
          <w:rFonts w:hint="default" w:ascii="宋体" w:hAnsi="宋体" w:eastAsia="宋体" w:cs="宋体"/>
          <w:color w:val="FF0000"/>
          <w:kern w:val="2"/>
          <w:sz w:val="28"/>
          <w:szCs w:val="28"/>
          <w:lang w:val="en-US" w:eastAsia="zh-CN" w:bidi="ar-SA"/>
        </w:rPr>
        <w:t xml:space="preserve">◼ </w:t>
      </w:r>
      <w:r>
        <w:rPr>
          <w:rFonts w:hint="eastAsia" w:ascii="宋体" w:hAnsi="宋体" w:eastAsia="宋体" w:cs="宋体"/>
          <w:color w:val="FF0000"/>
          <w:kern w:val="2"/>
          <w:sz w:val="28"/>
          <w:szCs w:val="28"/>
          <w:lang w:val="en-US" w:eastAsia="zh-CN" w:bidi="ar-SA"/>
        </w:rPr>
        <w:t>地址不要用微信直接打开。</w:t>
      </w:r>
    </w:p>
    <w:p w14:paraId="4F04112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宋体" w:hAnsi="宋体" w:eastAsia="宋体" w:cs="宋体"/>
          <w:color w:val="FF0000"/>
          <w:kern w:val="2"/>
          <w:sz w:val="28"/>
          <w:szCs w:val="28"/>
          <w:lang w:val="en-US" w:eastAsia="zh-CN" w:bidi="ar-SA"/>
        </w:rPr>
      </w:pPr>
    </w:p>
    <w:p w14:paraId="56B201A0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2、首次登录需要进行【账号激活】：</w:t>
      </w:r>
    </w:p>
    <w:p w14:paraId="32FDC916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</w:pPr>
      <w:r>
        <w:rPr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  <w:t>第一步：点击“账号激活”</w:t>
      </w:r>
    </w:p>
    <w:p w14:paraId="0B83759C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200"/>
        <w:textAlignment w:val="auto"/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188595</wp:posOffset>
            </wp:positionH>
            <wp:positionV relativeFrom="paragraph">
              <wp:posOffset>74295</wp:posOffset>
            </wp:positionV>
            <wp:extent cx="4909185" cy="2498090"/>
            <wp:effectExtent l="0" t="0" r="5715" b="16510"/>
            <wp:wrapTopAndBottom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09185" cy="2498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1682CA5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  <w:t>第二</w:t>
      </w:r>
      <w:r>
        <w:rPr>
          <w:rFonts w:hint="eastAsia" w:ascii="宋体" w:hAnsi="宋体" w:cs="宋体"/>
          <w:b/>
          <w:bCs/>
          <w:kern w:val="2"/>
          <w:sz w:val="28"/>
          <w:szCs w:val="28"/>
          <w:lang w:val="en-US" w:eastAsia="zh-CN" w:bidi="ar-SA"/>
        </w:rPr>
        <w:t>步</w:t>
      </w:r>
      <w:r>
        <w:rPr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  <w:t>：信息校验</w:t>
      </w:r>
    </w:p>
    <w:p w14:paraId="7B035FCB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按照要求分别填写个人学工号（学号或工号）、证件号，</w:t>
      </w:r>
    </w:p>
    <w:p w14:paraId="65722099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验证码，点击下一步。</w:t>
      </w:r>
    </w:p>
    <w:p w14:paraId="13CA7E49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</w:p>
    <w:p w14:paraId="74DADF44">
      <w:pPr>
        <w:pStyle w:val="5"/>
        <w:ind w:left="0" w:leftChars="0" w:firstLine="0" w:firstLineChars="0"/>
        <w:jc w:val="center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drawing>
          <wp:inline distT="0" distB="0" distL="114300" distR="114300">
            <wp:extent cx="5264785" cy="2303780"/>
            <wp:effectExtent l="0" t="0" r="12065" b="1270"/>
            <wp:docPr id="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303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8435AD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</w:p>
    <w:p w14:paraId="56F59DCD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default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b/>
          <w:bCs/>
          <w:kern w:val="2"/>
          <w:sz w:val="28"/>
          <w:szCs w:val="28"/>
          <w:lang w:val="en-US" w:eastAsia="zh-CN" w:bidi="ar-SA"/>
        </w:rPr>
        <w:t>第三步：绑定手机</w:t>
      </w:r>
    </w:p>
    <w:p w14:paraId="5A4BC00C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</w:p>
    <w:p w14:paraId="793E5BCB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特别提醒：</w:t>
      </w:r>
    </w:p>
    <w:p w14:paraId="1CD57449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手机账号如果为空或者不准确，请务必修改正确。保证填写的手机号与自己微信绑定的手机号一致。若不一致，将无法完整激活账号，部分功能将无法正常使用。如：企业微信绑定、密码找回等。</w:t>
      </w:r>
    </w:p>
    <w:p w14:paraId="05B8E070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</w:p>
    <w:p w14:paraId="45816BDA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-17145</wp:posOffset>
            </wp:positionH>
            <wp:positionV relativeFrom="paragraph">
              <wp:posOffset>101600</wp:posOffset>
            </wp:positionV>
            <wp:extent cx="5266690" cy="2437130"/>
            <wp:effectExtent l="0" t="0" r="10160" b="1270"/>
            <wp:wrapTopAndBottom/>
            <wp:docPr id="1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37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2D4252B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  <w:t>第四步：设置密码</w:t>
      </w:r>
    </w:p>
    <w:p w14:paraId="5C753F59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</w:pPr>
    </w:p>
    <w:p w14:paraId="062142B8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密码设置规则为至少8位，大写字母、小写字母、数字、特殊字符至少要包含三个！</w:t>
      </w:r>
    </w:p>
    <w:p w14:paraId="7D3F0064">
      <w:pPr>
        <w:pStyle w:val="5"/>
        <w:ind w:left="360" w:firstLine="0" w:firstLineChars="0"/>
        <w:jc w:val="both"/>
      </w:pPr>
      <w:r>
        <w:drawing>
          <wp:inline distT="0" distB="0" distL="114300" distR="114300">
            <wp:extent cx="4929505" cy="2310765"/>
            <wp:effectExtent l="0" t="0" r="4445" b="13335"/>
            <wp:docPr id="1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29505" cy="2310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941F63">
      <w:pPr>
        <w:pStyle w:val="5"/>
        <w:ind w:left="0" w:leftChars="0" w:firstLine="0" w:firstLineChars="0"/>
        <w:jc w:val="both"/>
        <w:rPr>
          <w:rFonts w:hint="eastAsia"/>
        </w:rPr>
      </w:pPr>
    </w:p>
    <w:p w14:paraId="72AA61D1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  <w:t>第五步：设置完成</w:t>
      </w:r>
    </w:p>
    <w:p w14:paraId="455B27D1">
      <w:pPr>
        <w:jc w:val="center"/>
        <w:rPr>
          <w:rFonts w:hint="eastAsia" w:ascii="宋体" w:hAnsi="宋体" w:eastAsia="宋体" w:cs="宋体"/>
          <w:sz w:val="28"/>
          <w:szCs w:val="28"/>
        </w:rPr>
      </w:pPr>
      <w:r>
        <w:drawing>
          <wp:inline distT="0" distB="0" distL="114300" distR="114300">
            <wp:extent cx="4996815" cy="2850515"/>
            <wp:effectExtent l="0" t="0" r="13335" b="6985"/>
            <wp:docPr id="1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96815" cy="2850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011B15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宋体" w:hAnsi="宋体" w:cs="宋体"/>
          <w:kern w:val="2"/>
          <w:sz w:val="28"/>
          <w:szCs w:val="28"/>
          <w:lang w:val="en-US" w:eastAsia="zh-CN" w:bidi="ar-SA"/>
        </w:rPr>
      </w:pPr>
    </w:p>
    <w:p w14:paraId="725DCB28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宋体" w:hAnsi="宋体" w:cs="宋体"/>
          <w:kern w:val="2"/>
          <w:sz w:val="28"/>
          <w:szCs w:val="28"/>
          <w:lang w:val="en-US" w:eastAsia="zh-CN" w:bidi="ar-SA"/>
        </w:rPr>
      </w:pPr>
    </w:p>
    <w:p w14:paraId="398DFD7D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宋体" w:hAnsi="宋体" w:cs="宋体"/>
          <w:kern w:val="2"/>
          <w:sz w:val="28"/>
          <w:szCs w:val="28"/>
          <w:lang w:val="en-US" w:eastAsia="zh-CN" w:bidi="ar-SA"/>
        </w:rPr>
      </w:pPr>
    </w:p>
    <w:p w14:paraId="2259FF72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宋体" w:hAnsi="宋体" w:cs="宋体"/>
          <w:kern w:val="2"/>
          <w:sz w:val="28"/>
          <w:szCs w:val="28"/>
          <w:lang w:val="en-US" w:eastAsia="zh-CN" w:bidi="ar-SA"/>
        </w:rPr>
      </w:pPr>
    </w:p>
    <w:p w14:paraId="10A5A08B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宋体" w:hAnsi="宋体" w:cs="宋体"/>
          <w:kern w:val="2"/>
          <w:sz w:val="28"/>
          <w:szCs w:val="28"/>
          <w:lang w:val="en-US" w:eastAsia="zh-CN" w:bidi="ar-SA"/>
        </w:rPr>
      </w:pPr>
    </w:p>
    <w:p w14:paraId="5E1B5FF6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宋体" w:hAnsi="宋体" w:cs="宋体"/>
          <w:kern w:val="2"/>
          <w:sz w:val="28"/>
          <w:szCs w:val="28"/>
          <w:lang w:val="en-US" w:eastAsia="zh-CN" w:bidi="ar-SA"/>
        </w:rPr>
      </w:pPr>
    </w:p>
    <w:p w14:paraId="7C852960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kern w:val="2"/>
          <w:sz w:val="28"/>
          <w:szCs w:val="28"/>
          <w:lang w:val="en-US" w:eastAsia="zh-CN" w:bidi="ar-SA"/>
        </w:rPr>
        <w:t>3</w:t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、登录进入教务系统</w:t>
      </w:r>
    </w:p>
    <w:p w14:paraId="66BA4BE7">
      <w:pPr>
        <w:jc w:val="both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访问</w:t>
      </w:r>
      <w:r>
        <w:rPr>
          <w:rFonts w:hint="eastAsia" w:ascii="宋体" w:hAnsi="宋体" w:eastAsia="宋体" w:cs="宋体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sz w:val="28"/>
          <w:szCs w:val="28"/>
        </w:rPr>
        <w:instrText xml:space="preserve"> HYPERLINK "https://i.nua.edu.cn/" </w:instrText>
      </w:r>
      <w:r>
        <w:rPr>
          <w:rFonts w:hint="eastAsia" w:ascii="宋体" w:hAnsi="宋体" w:eastAsia="宋体" w:cs="宋体"/>
          <w:sz w:val="28"/>
          <w:szCs w:val="28"/>
        </w:rPr>
        <w:fldChar w:fldCharType="separate"/>
      </w:r>
      <w:r>
        <w:rPr>
          <w:rStyle w:val="4"/>
          <w:rFonts w:hint="eastAsia" w:ascii="宋体" w:hAnsi="宋体" w:eastAsia="宋体" w:cs="宋体"/>
          <w:sz w:val="28"/>
          <w:szCs w:val="28"/>
        </w:rPr>
        <w:t>https://i.nua.edu.cn</w:t>
      </w:r>
      <w:r>
        <w:rPr>
          <w:rStyle w:val="4"/>
          <w:rFonts w:hint="eastAsia" w:ascii="宋体" w:hAnsi="宋体" w:eastAsia="宋体" w:cs="宋体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，进入</w:t>
      </w:r>
      <w:r>
        <w:rPr>
          <w:rFonts w:hint="eastAsia" w:ascii="宋体" w:hAnsi="宋体" w:cs="宋体"/>
          <w:kern w:val="2"/>
          <w:sz w:val="28"/>
          <w:szCs w:val="28"/>
          <w:lang w:val="en-US" w:eastAsia="zh-CN" w:bidi="ar-SA"/>
        </w:rPr>
        <w:t>“我的门户”</w:t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首页后</w:t>
      </w:r>
    </w:p>
    <w:p w14:paraId="7168C42B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点击办事大厅，搜索教务系统，点击教务系统（新）即可</w:t>
      </w:r>
    </w:p>
    <w:p w14:paraId="36839454"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274310" cy="3060065"/>
            <wp:effectExtent l="0" t="0" r="2540" b="698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60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4A1AEB">
      <w:pPr>
        <w:jc w:val="both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13ABFDD8">
      <w:pPr>
        <w:jc w:val="both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5015D63C">
      <w:pPr>
        <w:jc w:val="both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41817D79">
      <w:pPr>
        <w:jc w:val="both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24E3C478">
      <w:pPr>
        <w:jc w:val="both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74451201">
      <w:pPr>
        <w:jc w:val="both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3FEDB68F">
      <w:pPr>
        <w:jc w:val="both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7494EC0E">
      <w:pPr>
        <w:jc w:val="both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6FE678FC">
      <w:pPr>
        <w:jc w:val="both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3C3CCFDA">
      <w:pPr>
        <w:jc w:val="both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35E6F066">
      <w:pPr>
        <w:jc w:val="both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1A714FD1">
      <w:pPr>
        <w:jc w:val="both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4E9C9D84">
      <w:pPr>
        <w:pStyle w:val="5"/>
        <w:numPr>
          <w:ilvl w:val="0"/>
          <w:numId w:val="0"/>
        </w:numPr>
        <w:ind w:leftChars="0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  <w:t>二、学生选课操作手册</w:t>
      </w:r>
    </w:p>
    <w:p w14:paraId="2E435804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1</w:t>
      </w:r>
      <w:r>
        <w:rPr>
          <w:rFonts w:hint="eastAsia" w:ascii="宋体" w:hAnsi="宋体" w:cs="宋体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登录教务系统后，进入选课中心：</w:t>
      </w:r>
    </w:p>
    <w:p w14:paraId="207C09A8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登录学生端，可以直接点击“进入选课”</w:t>
      </w:r>
    </w:p>
    <w:p w14:paraId="2445AD66"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265420" cy="1416685"/>
            <wp:effectExtent l="0" t="0" r="11430" b="12065"/>
            <wp:docPr id="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1416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BA4B0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宋体" w:hAnsi="宋体" w:cs="宋体"/>
          <w:kern w:val="2"/>
          <w:sz w:val="28"/>
          <w:szCs w:val="28"/>
          <w:lang w:val="en-US" w:eastAsia="zh-CN" w:bidi="ar-SA"/>
        </w:rPr>
      </w:pPr>
    </w:p>
    <w:p w14:paraId="53243FB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kern w:val="2"/>
          <w:sz w:val="28"/>
          <w:szCs w:val="28"/>
          <w:lang w:val="en-US" w:eastAsia="zh-CN" w:bidi="ar-SA"/>
        </w:rPr>
        <w:t>2、</w:t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继续点击“进入选课”</w:t>
      </w:r>
    </w:p>
    <w:p w14:paraId="1BCF33CC"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264150" cy="540385"/>
            <wp:effectExtent l="0" t="0" r="12700" b="12065"/>
            <wp:docPr id="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540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DB6640"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264150" cy="839470"/>
            <wp:effectExtent l="0" t="0" r="12700" b="17780"/>
            <wp:docPr id="6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839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721C24"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8"/>
          <w:szCs w:val="28"/>
        </w:rPr>
      </w:pPr>
    </w:p>
    <w:p w14:paraId="4D61A9DD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kern w:val="2"/>
          <w:sz w:val="28"/>
          <w:szCs w:val="28"/>
          <w:lang w:val="en-US" w:eastAsia="zh-CN" w:bidi="ar-SA"/>
        </w:rPr>
        <w:t>3、</w:t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根据不同的选课标签页进入</w:t>
      </w:r>
    </w:p>
    <w:p w14:paraId="6EDCE8A4"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264150" cy="1393825"/>
            <wp:effectExtent l="0" t="0" r="12700" b="15875"/>
            <wp:docPr id="1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139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81212C"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270500" cy="1117600"/>
            <wp:effectExtent l="0" t="0" r="6350" b="6350"/>
            <wp:docPr id="13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11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B91662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default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“必选选课”，“专业限选选课”，“公共任选和专业任选选课”，其中“公共任选和专业任选选课”的‘通选课类别’包含了‘公共任选课’，‘公共任选课</w:t>
      </w:r>
      <w:r>
        <w:rPr>
          <w:rFonts w:hint="eastAsia" w:ascii="宋体" w:hAnsi="宋体" w:cs="宋体"/>
          <w:kern w:val="2"/>
          <w:sz w:val="28"/>
          <w:szCs w:val="28"/>
          <w:lang w:val="en-US" w:eastAsia="zh-CN" w:bidi="ar-SA"/>
        </w:rPr>
        <w:t>(网课)</w:t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’，‘专业任选课’，‘专业任选课</w:t>
      </w:r>
      <w:r>
        <w:rPr>
          <w:rFonts w:hint="eastAsia" w:ascii="宋体" w:hAnsi="宋体" w:cs="宋体"/>
          <w:kern w:val="2"/>
          <w:sz w:val="28"/>
          <w:szCs w:val="28"/>
          <w:lang w:val="en-US" w:eastAsia="zh-CN" w:bidi="ar-SA"/>
        </w:rPr>
        <w:t>(网课)</w:t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’‘空白’，‘其它’</w:t>
      </w:r>
      <w:r>
        <w:rPr>
          <w:rFonts w:hint="eastAsia" w:ascii="宋体" w:hAnsi="宋体" w:cs="宋体"/>
          <w:kern w:val="2"/>
          <w:sz w:val="28"/>
          <w:szCs w:val="28"/>
          <w:lang w:val="en-US" w:eastAsia="zh-CN" w:bidi="ar-SA"/>
        </w:rPr>
        <w:t>等</w:t>
      </w:r>
      <w:bookmarkStart w:id="0" w:name="_GoBack"/>
      <w:bookmarkEnd w:id="0"/>
    </w:p>
    <w:p w14:paraId="0A98CE46"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</w:p>
    <w:p w14:paraId="328DE01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kern w:val="2"/>
          <w:sz w:val="28"/>
          <w:szCs w:val="28"/>
          <w:lang w:val="en-US" w:eastAsia="zh-CN" w:bidi="ar-SA"/>
        </w:rPr>
        <w:t>4、</w:t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选课如下</w:t>
      </w:r>
      <w:r>
        <w:rPr>
          <w:rFonts w:hint="eastAsia" w:ascii="宋体" w:hAnsi="宋体" w:cs="宋体"/>
          <w:kern w:val="2"/>
          <w:sz w:val="28"/>
          <w:szCs w:val="28"/>
          <w:lang w:val="en-US" w:eastAsia="zh-CN" w:bidi="ar-SA"/>
        </w:rPr>
        <w:t>：</w:t>
      </w:r>
    </w:p>
    <w:p w14:paraId="1F838CFB">
      <w:pPr>
        <w:numPr>
          <w:ilvl w:val="0"/>
          <w:numId w:val="0"/>
        </w:numP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drawing>
          <wp:inline distT="0" distB="0" distL="114300" distR="114300">
            <wp:extent cx="5266690" cy="1289050"/>
            <wp:effectExtent l="0" t="0" r="10160" b="6350"/>
            <wp:docPr id="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28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8EC51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宋体" w:hAnsi="宋体" w:cs="宋体"/>
          <w:kern w:val="2"/>
          <w:sz w:val="28"/>
          <w:szCs w:val="28"/>
          <w:lang w:val="en-US" w:eastAsia="zh-CN" w:bidi="ar-SA"/>
        </w:rPr>
      </w:pPr>
    </w:p>
    <w:p w14:paraId="35B6915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kern w:val="2"/>
          <w:sz w:val="28"/>
          <w:szCs w:val="28"/>
          <w:lang w:val="en-US" w:eastAsia="zh-CN" w:bidi="ar-SA"/>
        </w:rPr>
        <w:t>5、</w:t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若选错了我们可以在--选课结果及退选中，点击退选，再返回去重新选择即可</w:t>
      </w:r>
    </w:p>
    <w:p w14:paraId="3A18A6B9">
      <w:pPr>
        <w:numPr>
          <w:ilvl w:val="0"/>
          <w:numId w:val="0"/>
        </w:numPr>
        <w:rPr>
          <w:rFonts w:hint="eastAsia" w:ascii="宋体" w:hAnsi="宋体" w:eastAsia="宋体" w:cs="宋体"/>
          <w:kern w:val="2"/>
          <w:sz w:val="28"/>
          <w:szCs w:val="36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drawing>
          <wp:inline distT="0" distB="0" distL="114300" distR="114300">
            <wp:extent cx="5274945" cy="2041525"/>
            <wp:effectExtent l="0" t="0" r="1905" b="15875"/>
            <wp:docPr id="12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3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204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615142"/>
    <w:p w14:paraId="17603086"/>
    <w:p w14:paraId="78C95815"/>
    <w:p w14:paraId="680D0AE8"/>
    <w:p w14:paraId="7724821D"/>
    <w:p w14:paraId="5ABD1516"/>
    <w:p w14:paraId="7FDB5B1A"/>
    <w:p w14:paraId="569D7E30"/>
    <w:p w14:paraId="6909401B"/>
    <w:p w14:paraId="01420931"/>
    <w:p w14:paraId="14C9266F"/>
    <w:p w14:paraId="390259BA"/>
    <w:p w14:paraId="54BC129F"/>
    <w:p w14:paraId="75C84DD7"/>
    <w:p w14:paraId="1B04FFA5"/>
    <w:p w14:paraId="375D14BC">
      <w:pPr>
        <w:numPr>
          <w:ilvl w:val="0"/>
          <w:numId w:val="0"/>
        </w:numPr>
        <w:rPr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  <w:t>三、重修选课操作手册</w:t>
      </w:r>
    </w:p>
    <w:p w14:paraId="50B84D9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1</w:t>
      </w:r>
      <w:r>
        <w:rPr>
          <w:rFonts w:hint="eastAsia" w:ascii="宋体" w:hAnsi="宋体" w:cs="宋体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登录教务系统后，进入选课中心：登录学生端，可以直接点击“进入首页”</w:t>
      </w:r>
    </w:p>
    <w:p w14:paraId="0B55937D">
      <w:pPr>
        <w:numPr>
          <w:ilvl w:val="0"/>
          <w:numId w:val="0"/>
        </w:numP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drawing>
          <wp:inline distT="0" distB="0" distL="114300" distR="114300">
            <wp:extent cx="5273040" cy="2153920"/>
            <wp:effectExtent l="0" t="0" r="3810" b="17780"/>
            <wp:docPr id="4" name="图片 4" descr="4acc2cd67b317c1d7dc47729d8452c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4acc2cd67b317c1d7dc47729d8452c0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153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3A898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br w:type="textWrapping"/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2</w:t>
      </w:r>
      <w:r>
        <w:rPr>
          <w:rFonts w:hint="eastAsia" w:ascii="宋体" w:hAnsi="宋体" w:cs="宋体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点击左侧考试报名-成绩管理-重修报名选课</w:t>
      </w:r>
    </w:p>
    <w:p w14:paraId="77EF66BF">
      <w:pPr>
        <w:numPr>
          <w:ilvl w:val="0"/>
          <w:numId w:val="0"/>
        </w:numP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drawing>
          <wp:inline distT="0" distB="0" distL="114300" distR="114300">
            <wp:extent cx="5264150" cy="1467485"/>
            <wp:effectExtent l="0" t="0" r="12700" b="18415"/>
            <wp:docPr id="2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19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146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38773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br w:type="textWrapping"/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3</w:t>
      </w:r>
      <w:r>
        <w:rPr>
          <w:rFonts w:hint="eastAsia" w:ascii="宋体" w:hAnsi="宋体" w:cs="宋体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进入重修报名选课界面，点击报名，如下图所示</w:t>
      </w:r>
    </w:p>
    <w:p w14:paraId="1918BFD5">
      <w:pPr>
        <w:numPr>
          <w:ilvl w:val="0"/>
          <w:numId w:val="0"/>
        </w:numP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drawing>
          <wp:inline distT="0" distB="0" distL="114300" distR="114300">
            <wp:extent cx="5264150" cy="1588135"/>
            <wp:effectExtent l="0" t="0" r="12700" b="12065"/>
            <wp:docPr id="30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18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1588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C87106">
      <w:pPr>
        <w:numPr>
          <w:ilvl w:val="0"/>
          <w:numId w:val="0"/>
        </w:numP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</w:p>
    <w:p w14:paraId="0FA8C1C0">
      <w:pPr>
        <w:numPr>
          <w:ilvl w:val="0"/>
          <w:numId w:val="0"/>
        </w:numP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</w:p>
    <w:p w14:paraId="5D5CA8D0">
      <w:pPr>
        <w:numPr>
          <w:ilvl w:val="0"/>
          <w:numId w:val="0"/>
        </w:numP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</w:p>
    <w:p w14:paraId="2529438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4</w:t>
      </w:r>
      <w:r>
        <w:rPr>
          <w:rFonts w:hint="eastAsia" w:ascii="宋体" w:hAnsi="宋体" w:cs="宋体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点击报名后点击‘选课’，点击‘选定’进行选择教学班级进行重修。</w:t>
      </w:r>
    </w:p>
    <w:p w14:paraId="2AA20ECE">
      <w:pPr>
        <w:numPr>
          <w:ilvl w:val="0"/>
          <w:numId w:val="0"/>
        </w:numP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drawing>
          <wp:inline distT="0" distB="0" distL="114300" distR="114300">
            <wp:extent cx="5264150" cy="1656715"/>
            <wp:effectExtent l="0" t="0" r="12700" b="635"/>
            <wp:docPr id="31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17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1656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D9CCB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说明：</w:t>
      </w:r>
    </w:p>
    <w:p w14:paraId="1A7EC61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1、如果点击‘选课’后出现空白页面，说明重修的课程在这学期没有进行开课。</w:t>
      </w:r>
    </w:p>
    <w:p w14:paraId="0436330E">
      <w:pPr>
        <w:numPr>
          <w:ilvl w:val="0"/>
          <w:numId w:val="0"/>
        </w:numP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drawing>
          <wp:inline distT="0" distB="0" distL="114300" distR="114300">
            <wp:extent cx="5264150" cy="2323465"/>
            <wp:effectExtent l="0" t="0" r="12700" b="635"/>
            <wp:docPr id="32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16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323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4AD84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宋体" w:hAnsi="宋体" w:eastAsia="宋体" w:cs="宋体"/>
          <w:kern w:val="2"/>
          <w:sz w:val="28"/>
          <w:szCs w:val="36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2、点击‘选定’提示‘所选课程与学生已有课程存在时间冲突’，说</w:t>
      </w:r>
      <w:r>
        <w:rPr>
          <w:rFonts w:hint="eastAsia" w:ascii="宋体" w:hAnsi="宋体" w:eastAsia="宋体" w:cs="宋体"/>
          <w:kern w:val="2"/>
          <w:sz w:val="28"/>
          <w:szCs w:val="36"/>
          <w:lang w:val="en-US" w:eastAsia="zh-CN" w:bidi="ar-SA"/>
        </w:rPr>
        <w:t>明选择的该班级上课时间与自己的某门课程上课时间冲突</w:t>
      </w:r>
    </w:p>
    <w:p w14:paraId="7E8F8B81">
      <w:pPr>
        <w:numPr>
          <w:ilvl w:val="0"/>
          <w:numId w:val="0"/>
        </w:numPr>
      </w:pPr>
      <w:r>
        <w:rPr>
          <w:rFonts w:hint="eastAsia" w:ascii="宋体" w:hAnsi="宋体" w:eastAsia="宋体" w:cs="宋体"/>
          <w:kern w:val="2"/>
          <w:sz w:val="28"/>
          <w:szCs w:val="36"/>
          <w:lang w:val="en-US" w:eastAsia="zh-CN" w:bidi="ar-SA"/>
        </w:rPr>
        <w:drawing>
          <wp:inline distT="0" distB="0" distL="0" distR="0">
            <wp:extent cx="5274310" cy="2482215"/>
            <wp:effectExtent l="0" t="0" r="2540" b="13335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827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2NjMzOWJkMDYyODVlNjZhNGVjMzE4ZDVjZTcyMWYifQ=="/>
  </w:docVars>
  <w:rsids>
    <w:rsidRoot w:val="572A7D66"/>
    <w:rsid w:val="15F772F8"/>
    <w:rsid w:val="260940AD"/>
    <w:rsid w:val="2F7176FA"/>
    <w:rsid w:val="4D8B5F25"/>
    <w:rsid w:val="555A4F87"/>
    <w:rsid w:val="572A7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  <w:style w:type="paragraph" w:styleId="5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4" Type="http://schemas.openxmlformats.org/officeDocument/2006/relationships/fontTable" Target="fontTable.xml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799</Words>
  <Characters>838</Characters>
  <Lines>0</Lines>
  <Paragraphs>0</Paragraphs>
  <TotalTime>19</TotalTime>
  <ScaleCrop>false</ScaleCrop>
  <LinksUpToDate>false</LinksUpToDate>
  <CharactersWithSpaces>844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2024-09-04T03:52:00Z</dcterms:created>
  <dc:creator>地瓜地瓜我是芋头</dc:creator>
  <cp:lastModifiedBy>地瓜地瓜我是芋头</cp:lastModifiedBy>
  <dcterms:modified xsi:type="dcterms:W3CDTF">2025-02-17T06:50:16Z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E81300F683DB4FF5B45835F23BF28DC2_11</vt:lpwstr>
  </property>
  <property fmtid="{D5CDD505-2E9C-101B-9397-08002B2CF9AE}" pid="4" name="KSOTemplateDocerSaveRecord">
    <vt:lpwstr>eyJoZGlkIjoiNmQ2NjMzOWJkMDYyODVlNjZhNGVjMzE4ZDVjZTcyMWYiLCJ1c2VySWQiOiI4NzcyNDI2MTEifQ==</vt:lpwstr>
  </property>
</Properties>
</file>